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О внесение изменений в постановление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right="5243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Главы Шереметьевского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13.08.2025г. № 4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начале процедуры признания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невостребованных долей (паев)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Шереметьевского сельского поселения Нижнекамского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20.03.2025г.</w:t>
      </w:r>
      <w:r>
        <w:rPr>
          <w:rFonts w:ascii="Times New Roman" w:hAnsi="Times New Roman" w:eastAsia="Calibri" w:cs="Times New Roman"/>
          <w:sz w:val="28"/>
          <w:szCs w:val="28"/>
        </w:rPr>
        <w:t xml:space="preserve">  № 33-ФЗ «Об общих принципах организации местного самоуправления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единой системе публичной власти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Протокола о несостоявшемся общем собрании участников долевой собственности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(пайщиков) земельных долей бывшего СПК «Камские Зори», расположенных на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территории 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от 12.01.2026г.,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Исключить из списка земельных долей (паев), которые могут быть признаны невостребованными на 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земельные участки, согласно списка (прилагается).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Изложить список земельных долей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(паев), которые могут быть признаны невостребованными на 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Настоящее постановление обнародовать 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сайте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района Республики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«https://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https://sheremetevskoe-sp.ru/» и на информационн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стенд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поселения, расположенн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адрес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с.Оша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п.Первомайский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п.Самоновка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ул.Строителей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п.Поповка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ул.Солнечная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д.48А,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Октябрьская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площадь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(возле магазина Пятерочка)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д.Нариман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д.56Б,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Московская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постановление вступает в силу со дня его обнародования.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 Контроль за исполнением настоящего постановления оставляю за собой.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К.Б. Фролов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5380"/>
        <w:gridCol w:w="1087"/>
        <w:gridCol w:w="2293"/>
      </w:tblGrid>
      <w:tr>
        <w:tblPrEx/>
        <w:trPr>
          <w:trHeight w:val="225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Приложение № 3 к постановлению Главы Шереметьевского сельского поселения НМР РТ от 25 февраля 2026 года № 3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</w:tbl>
    <w:p>
      <w:pPr>
        <w:ind w:left="0" w:right="0" w:firstLine="567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земельных долей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которые могут быть признаны невостребованными на территории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 сельского поселения Нижнекамского муниципального района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503"/>
        <w:gridCol w:w="2864"/>
        <w:gridCol w:w="1100"/>
        <w:gridCol w:w="1190"/>
        <w:gridCol w:w="4538"/>
      </w:tblGrid>
      <w:tr>
        <w:tblPrEx/>
        <w:trPr>
          <w:trHeight w:val="2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площадь пая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Год  рождения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Акилов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Александр Анатольевич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Васильев Борис Иванович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Вахтеров Сергей Николаевич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Гатин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Руслан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Рафхатович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Гордынский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Григорий Васильевич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Ефимова Раиса Анатольевна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Зиатдинова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Гузель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Хазинуровна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Фатыхова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Гюзель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Хазинуровна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(смена фамилии и ошибка в имени)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Константинова Наталья Анатольевна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Ложкин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Фловян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Ложкин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вян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(ошибка в имени)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Альнур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Хайдарович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Рузалия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Касымовна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(по паспорту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Хадиуллина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Рузалия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Касимовна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21.10.1966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смерти отсутствует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Попруженко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Григорий Николаевич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5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09.07.1971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информация о смерти отсутствует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5380"/>
        <w:gridCol w:w="1087"/>
        <w:gridCol w:w="2293"/>
      </w:tblGrid>
      <w:tr>
        <w:tblPrEx/>
        <w:trPr>
          <w:trHeight w:val="225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Приложение № 2 к постановлению Главы Шереметьевского сельского поселения НМР РТ от 25 февраля 2026 года № 3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</w:tbl>
    <w:p>
      <w:pPr>
        <w:ind w:firstLine="567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Список земельных долей (паев), которые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быть признаны невостребованными на территории Шереметьевского сельского поселения 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934"/>
        <w:gridCol w:w="3259"/>
        <w:gridCol w:w="1133"/>
        <w:gridCol w:w="1190"/>
        <w:gridCol w:w="3544"/>
      </w:tblGrid>
      <w:tr>
        <w:tblPrEx/>
        <w:trPr>
          <w:trHeight w:val="6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площадь пая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Год  рождения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3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Андрианов Илья Антонович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1929   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Право собственности оформлено наследником Андрияновой З.И.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Бабаева Вера Семеновна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1907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Право собственности оформлено наследником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Никишиной М.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Большаков Виталий Матвеевич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25.08.2003г, есть наследники Большаковы Сергей и Виктор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Валиуллин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Гали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Салихович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Имя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Галий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дата смерти 03.01.2016г, наследственное дело открыто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Гатина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Маймуна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Зиганшевна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Имя отчество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Маймуня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Зиганшиновна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умерла 29.05.2011г, наследственное дело открыто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Гардеев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Валерий Алексеевич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 Гордеев,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раво собственности оформлено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Корякин Виктор Семенович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 Карякин, отчество Семёнович, умер 28.10.2002г, наследник  Карякин Э.В., наследственное дело открыто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Вахтеров Николай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Вирсантьевич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Вяльшин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Рашит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Тагирович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Вяльшина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Ольга Владимировна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Герасимов Николай Петрович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Гордынская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Любовь Васильевна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Князбеева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Мария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Арсентьевна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Куприн Илларион Сергеевич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Куприна Наталья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Поликарповна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Мельников Николай Гаврилович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Миннимуллина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Нурдида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Насибулловна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Петров Владимир Дмитриевич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Сосукина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Прасковья Ивановна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Тихонов Василий Гаврилович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Фокин Алексей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Филипович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Чернобровкин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Виктор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Гурьянович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Нет информации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r/>
      <w:r/>
    </w:p>
    <w:p>
      <w:r/>
      <w:r/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5380"/>
        <w:gridCol w:w="1087"/>
        <w:gridCol w:w="2293"/>
      </w:tblGrid>
      <w:tr>
        <w:tblPrEx/>
        <w:trPr>
          <w:trHeight w:val="225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Приложение № 1 к постановлению Главы Шереметьевского сельского поселения НМР РТ от 25 февраля 2026 года № 3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</w:tbl>
    <w:p>
      <w:pPr>
        <w:ind w:firstLine="567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Список земельных долей (паев), которые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могут быть оформлены в муниципальную собственность как выморочное имущество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09"/>
        <w:gridCol w:w="3599"/>
        <w:gridCol w:w="1100"/>
        <w:gridCol w:w="1191"/>
        <w:gridCol w:w="3402"/>
      </w:tblGrid>
      <w:tr>
        <w:tblPrEx/>
        <w:trPr>
          <w:trHeight w:val="2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площадь пая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Год  рождения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(по реестру)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Акилова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Валентина Романовна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20.07.1932 г.р.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01.01.2013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Батвильева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Просковья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Давыдовна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1921   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Фамилия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Батвиньева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31.12.1921 г.р.,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Дата смерти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13.06.2008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Бородачева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Евдокия Яковлевна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31.12.2003г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Гильманова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Тазельниса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Сабировна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Гришина Евдокия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Макаровна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Давлетшин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Анас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Гильмуханович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12.08.1956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31.05.2011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Ефремов Степан Никитович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дата смерти 10.08.2002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Ефремов Тихон Никитович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Ефремова Александра Васильевна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Зелимбаева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Людмила Павловна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Козлова Анна Алексеевна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Козлова Анастасия Ивановна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Копанева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Мария Петровна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21.09.1925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Лазарев Алексей Ефимович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Ложкина Александра Михайловна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Максимова Антонина Михайловна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Марданшин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Райхат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Валиахметович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1949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Марданшина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Закира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Шайдулловна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Петров Дмитрий Михайлович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Петрова Анна Павловна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Петрова Анна Трофимовна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10.08.1921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09.05.2013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Северьянова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Просковья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Ивановна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Турочкина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Евдокия Павловна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Фелкин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Сергей Иванович (по паспорту Феклин Сергей Иванович)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10.04.1955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20.01.2008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Феклина Алла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09.10.1961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10.06.2014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Феклина Анна Ивановна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Фирсова Анна Никитична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08.07.1928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г.р.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Дата смерти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12.12.2013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Хабибрахманова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Хаят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Хабиброхменовна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Мария Яковлевна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Шаронова Акулина Петровна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5,98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 реестре числится умершим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r/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8"/>
    <w:next w:val="848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8"/>
    <w:next w:val="848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8"/>
    <w:next w:val="848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8"/>
    <w:next w:val="848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4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9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>
    <w:name w:val="Hyperlink"/>
    <w:basedOn w:val="849"/>
    <w:uiPriority w:val="99"/>
    <w:unhideWhenUsed/>
    <w:rPr>
      <w:color w:val="0000ff" w:themeColor="hyperlink"/>
      <w:u w:val="single"/>
    </w:rPr>
  </w:style>
  <w:style w:type="paragraph" w:styleId="853">
    <w:name w:val="List Paragraph"/>
    <w:basedOn w:val="848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5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55">
    <w:name w:val="Balloon Text"/>
    <w:basedOn w:val="848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9"/>
    <w:link w:val="85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12</cp:revision>
  <dcterms:created xsi:type="dcterms:W3CDTF">2025-08-08T05:43:00Z</dcterms:created>
  <dcterms:modified xsi:type="dcterms:W3CDTF">2026-02-27T07:40:43Z</dcterms:modified>
</cp:coreProperties>
</file>